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726BA0E" w14:textId="77E50BB2" w:rsidR="00CE148E" w:rsidRDefault="00CE148E">
      <w:proofErr w:type="gramStart"/>
      <w:r>
        <w:rPr>
          <w:b/>
          <w:bCs/>
          <w:i/>
          <w:iCs/>
        </w:rPr>
        <w:t>Animal immunization and challenge studies</w:t>
      </w:r>
      <w:r>
        <w:rPr>
          <w:rFonts w:hint="eastAsia"/>
          <w:i/>
          <w:iCs/>
        </w:rPr>
        <w:t>.</w:t>
      </w:r>
      <w:proofErr w:type="gramEnd"/>
      <w:r>
        <w:rPr>
          <w:i/>
          <w:iCs/>
        </w:rPr>
        <w:t xml:space="preserve"> </w:t>
      </w:r>
      <w:r>
        <w:t>BALB/c mice were immunized with SARS-CoV-2 RBD-Fc protein.</w:t>
      </w:r>
      <w:r>
        <w:rPr>
          <w:rFonts w:hint="eastAsia"/>
        </w:rPr>
        <w:t xml:space="preserve"> </w:t>
      </w:r>
      <w:r>
        <w:t xml:space="preserve">Briefly, female mice (6 to 8-week-old) were randomly divided into two groups, and </w:t>
      </w:r>
      <w:bookmarkStart w:id="0" w:name="_Hlk45129829"/>
      <w:r>
        <w:t>subcutaneously (</w:t>
      </w:r>
      <w:proofErr w:type="spellStart"/>
      <w:proofErr w:type="gramStart"/>
      <w:r>
        <w:t>s.c</w:t>
      </w:r>
      <w:proofErr w:type="gramEnd"/>
      <w:r>
        <w:t>.</w:t>
      </w:r>
      <w:proofErr w:type="spellEnd"/>
      <w:r>
        <w:t>)</w:t>
      </w:r>
      <w:bookmarkEnd w:id="0"/>
      <w:r>
        <w:t xml:space="preserve"> vaccinated with RBD-Fc (10</w:t>
      </w:r>
      <w:r>
        <w:rPr>
          <w:rFonts w:hint="eastAsia"/>
        </w:rPr>
        <w:t xml:space="preserve"> </w:t>
      </w:r>
      <w:proofErr w:type="spellStart"/>
      <w:r>
        <w:rPr>
          <w:color w:val="000000"/>
        </w:rPr>
        <w:t>μg</w:t>
      </w:r>
      <w:proofErr w:type="spellEnd"/>
      <w:r>
        <w:t xml:space="preserve"> /mouse) or PBS control in the presence of aluminum</w:t>
      </w:r>
      <w:r>
        <w:rPr>
          <w:color w:val="000000"/>
        </w:rPr>
        <w:t xml:space="preserve"> (100</w:t>
      </w:r>
      <w:r>
        <w:rPr>
          <w:rFonts w:hint="eastAsia"/>
          <w:color w:val="000000"/>
        </w:rPr>
        <w:t xml:space="preserve"> </w:t>
      </w:r>
      <w:proofErr w:type="spellStart"/>
      <w:r>
        <w:rPr>
          <w:color w:val="000000"/>
        </w:rPr>
        <w:t>μg</w:t>
      </w:r>
      <w:proofErr w:type="spellEnd"/>
      <w:r>
        <w:rPr>
          <w:color w:val="000000"/>
        </w:rPr>
        <w:t>/mouse)</w:t>
      </w:r>
      <w:r>
        <w:t xml:space="preserve"> adjuvant and boosted with the same immunogen and adjuvant at 2 weeks. Sera were collected 2 weeks after primary and boost</w:t>
      </w:r>
      <w:r>
        <w:rPr>
          <w:rFonts w:hint="eastAsia"/>
        </w:rPr>
        <w:t xml:space="preserve"> </w:t>
      </w:r>
      <w:r>
        <w:t>immunization to detect SARS-CoV-2 S specific antibodies and neutralizing antibodies as described below. Four weeks after the boosted immunization, mice were inoculated intranasally with</w:t>
      </w:r>
      <w:r>
        <w:rPr>
          <w:color w:val="000000"/>
        </w:rPr>
        <w:t xml:space="preserve"> MASCp6</w:t>
      </w:r>
      <w:r>
        <w:rPr>
          <w:rFonts w:hint="eastAsia"/>
          <w:color w:val="000000"/>
        </w:rPr>
        <w:t xml:space="preserve"> (</w:t>
      </w:r>
      <w:r>
        <w:rPr>
          <w:color w:val="000000"/>
        </w:rPr>
        <w:t>1.6</w:t>
      </w:r>
      <w:r w:rsidRPr="00966407">
        <w:rPr>
          <w:color w:val="000000"/>
        </w:rPr>
        <w:t>×</w:t>
      </w:r>
      <w:r>
        <w:rPr>
          <w:rFonts w:hint="eastAsia"/>
          <w:color w:val="000000"/>
        </w:rPr>
        <w:t>1</w:t>
      </w:r>
      <w:r>
        <w:rPr>
          <w:color w:val="000000"/>
        </w:rPr>
        <w:t>0</w:t>
      </w:r>
      <w:r>
        <w:rPr>
          <w:color w:val="000000"/>
          <w:vertAlign w:val="superscript"/>
        </w:rPr>
        <w:t>4</w:t>
      </w:r>
      <w:r>
        <w:rPr>
          <w:color w:val="000000"/>
        </w:rPr>
        <w:t xml:space="preserve"> PFU/mouse). </w:t>
      </w:r>
      <w:r>
        <w:t>All mice were observed daily. On day 5 post-infection, five mice in each group were sacrificed, and their lung tissues were subjected to viral RNA loads analysis</w:t>
      </w:r>
      <w:r w:rsidR="00B233B0">
        <w:rPr>
          <w:rFonts w:hint="eastAsia"/>
        </w:rPr>
        <w:t xml:space="preserve"> and</w:t>
      </w:r>
      <w:r>
        <w:t xml:space="preserve"> </w:t>
      </w:r>
      <w:r w:rsidR="00B233B0">
        <w:t>lung pathological analysis</w:t>
      </w:r>
      <w:r w:rsidR="00B233B0">
        <w:rPr>
          <w:rFonts w:hint="eastAsia"/>
        </w:rPr>
        <w:t>.</w:t>
      </w:r>
      <w:bookmarkStart w:id="1" w:name="_GoBack"/>
      <w:bookmarkEnd w:id="1"/>
    </w:p>
    <w:sectPr w:rsidR="00CE148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148E"/>
    <w:rsid w:val="00B233B0"/>
    <w:rsid w:val="00CE1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BE096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124</Words>
  <Characters>708</Characters>
  <Application>Microsoft Office Word</Application>
  <DocSecurity>0</DocSecurity>
  <Lines>5</Lines>
  <Paragraphs>1</Paragraphs>
  <ScaleCrop>false</ScaleCrop>
  <Company/>
  <LinksUpToDate>false</LinksUpToDate>
  <CharactersWithSpaces>831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 hongjing</dc:creator>
  <cp:keywords/>
  <dc:description/>
  <cp:lastModifiedBy>sunsh</cp:lastModifiedBy>
  <cp:revision>2</cp:revision>
  <dcterms:created xsi:type="dcterms:W3CDTF">2021-02-03T07:45:00Z</dcterms:created>
  <dcterms:modified xsi:type="dcterms:W3CDTF">2021-02-03T08:01:00Z</dcterms:modified>
</cp:coreProperties>
</file>